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18" w:rsidRPr="006C1CB1" w:rsidRDefault="003E4118" w:rsidP="003E411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6C1CB1">
        <w:rPr>
          <w:b/>
          <w:color w:val="000000" w:themeColor="text1"/>
          <w:sz w:val="24"/>
          <w:szCs w:val="24"/>
        </w:rPr>
        <w:t xml:space="preserve">ОБЩИНСКА </w:t>
      </w:r>
      <w:r w:rsidRPr="006C1CB1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3E4118" w:rsidRPr="006C1CB1" w:rsidRDefault="003E4118" w:rsidP="003E4118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6C1CB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3E4118" w:rsidRPr="006C1CB1" w:rsidRDefault="003E4118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3E4118" w:rsidRPr="006C1CB1" w:rsidRDefault="00983C14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08</w:t>
      </w:r>
      <w:r w:rsidR="00042F35">
        <w:rPr>
          <w:color w:val="000000" w:themeColor="text1"/>
          <w:sz w:val="24"/>
          <w:szCs w:val="24"/>
        </w:rPr>
        <w:t>9</w:t>
      </w:r>
      <w:r w:rsidR="003E4118" w:rsidRPr="006C1CB1">
        <w:rPr>
          <w:color w:val="000000" w:themeColor="text1"/>
          <w:sz w:val="24"/>
          <w:szCs w:val="24"/>
        </w:rPr>
        <w:t xml:space="preserve">-МИ </w:t>
      </w:r>
    </w:p>
    <w:p w:rsidR="003E4118" w:rsidRPr="006C1CB1" w:rsidRDefault="003E4118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6C1CB1">
        <w:rPr>
          <w:color w:val="000000" w:themeColor="text1"/>
          <w:sz w:val="24"/>
          <w:szCs w:val="24"/>
        </w:rPr>
        <w:t xml:space="preserve">Сунгурларе, </w:t>
      </w:r>
      <w:r w:rsidR="00042F35">
        <w:rPr>
          <w:color w:val="000000" w:themeColor="text1"/>
          <w:sz w:val="24"/>
          <w:szCs w:val="24"/>
          <w:lang w:val="en-US"/>
        </w:rPr>
        <w:t>18</w:t>
      </w:r>
      <w:r w:rsidRPr="006C1CB1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95745C" w:rsidRDefault="001F1E41" w:rsidP="0095745C">
      <w:pPr>
        <w:pStyle w:val="a9"/>
        <w:ind w:firstLine="708"/>
        <w:jc w:val="both"/>
      </w:pPr>
      <w:r w:rsidRPr="006C1CB1">
        <w:rPr>
          <w:b/>
        </w:rPr>
        <w:t>ОТНОСНО:</w:t>
      </w:r>
      <w:r w:rsidRPr="006C1CB1">
        <w:t xml:space="preserve"> </w:t>
      </w:r>
      <w:r w:rsidR="0095745C">
        <w:t>Решение №1409-МИ/16.10.2019г. на ЦИК и в изпълнение на разпореждане за ново разглеждане и произнасяне с мотиви относно</w:t>
      </w:r>
      <w:r w:rsidR="0095745C" w:rsidRPr="00413F98">
        <w:t xml:space="preserve"> </w:t>
      </w:r>
      <w:r w:rsidR="0095745C">
        <w:t>разглеждането на  жалба с вх.№89/11.10.2019 г. от ПП ГЕРБ, с която се подават два сигнала за нарушение на Изборния кодекс - провеждане на предизборна кампания на турски език и наслагване на етническо напрежение, ОИК Сунгурларе, в изпълнение на разпореждането на ЦИК, пристъпва към ново разглеждане на жалба с вх.№89/11.10.2019 г. от ПП ГЕРБ.</w:t>
      </w:r>
    </w:p>
    <w:p w:rsidR="007A7122" w:rsidRDefault="007A7122" w:rsidP="0095745C">
      <w:pPr>
        <w:pStyle w:val="a9"/>
        <w:ind w:firstLine="708"/>
        <w:jc w:val="both"/>
      </w:pPr>
    </w:p>
    <w:p w:rsidR="002E0B2D" w:rsidRDefault="002E0B2D" w:rsidP="002E0B2D">
      <w:pPr>
        <w:pStyle w:val="a9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Според текста на изречение първо от чл.17 от § 1 от допълнителните разпоредби на Изборния кодекс : </w:t>
      </w:r>
      <w:r w:rsidRPr="003A6C54">
        <w:rPr>
          <w:i/>
          <w:sz w:val="23"/>
          <w:szCs w:val="23"/>
        </w:rPr>
        <w:t xml:space="preserve">"Предизборна агитация" е призив за подкрепа или за </w:t>
      </w:r>
      <w:proofErr w:type="spellStart"/>
      <w:r w:rsidRPr="003A6C54">
        <w:rPr>
          <w:i/>
          <w:sz w:val="23"/>
          <w:szCs w:val="23"/>
        </w:rPr>
        <w:t>неподкрепа</w:t>
      </w:r>
      <w:proofErr w:type="spellEnd"/>
      <w:r w:rsidRPr="003A6C54">
        <w:rPr>
          <w:i/>
          <w:sz w:val="23"/>
          <w:szCs w:val="23"/>
        </w:rPr>
        <w:t xml:space="preserve"> на кандидат, партия, коалиция или инициативен комитет при участие в избори.</w:t>
      </w:r>
      <w:r w:rsidRPr="003A6C54">
        <w:rPr>
          <w:color w:val="000000" w:themeColor="text1"/>
        </w:rPr>
        <w:t>”</w:t>
      </w:r>
      <w:r>
        <w:rPr>
          <w:color w:val="000000" w:themeColor="text1"/>
        </w:rPr>
        <w:t xml:space="preserve">  </w:t>
      </w:r>
    </w:p>
    <w:p w:rsidR="002E0B2D" w:rsidRDefault="002E0B2D" w:rsidP="002E0B2D">
      <w:pPr>
        <w:pStyle w:val="a9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От приложеното към жалбата доказателство, се установи, че двама от участващите агитатори – г-н Илиян Костов Маринов и г-н Мустафа Сали </w:t>
      </w:r>
      <w:proofErr w:type="spellStart"/>
      <w:r>
        <w:rPr>
          <w:color w:val="000000" w:themeColor="text1"/>
        </w:rPr>
        <w:t>Карадайъ</w:t>
      </w:r>
      <w:proofErr w:type="spellEnd"/>
      <w:r>
        <w:rPr>
          <w:color w:val="000000" w:themeColor="text1"/>
        </w:rPr>
        <w:t xml:space="preserve"> през цялото време на видеозаписа на предизборната агитация говорят високо и ясно на турски език, което е нарушение на императивната норма на чл.181, ал.2 от ИК. </w:t>
      </w:r>
    </w:p>
    <w:p w:rsidR="002E0B2D" w:rsidRDefault="002E0B2D" w:rsidP="002E0B2D">
      <w:pPr>
        <w:pStyle w:val="a9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От видяното по недвусмислен начин се установява, че видеоматериалът отразява </w:t>
      </w:r>
      <w:r w:rsidRPr="003A6C54">
        <w:rPr>
          <w:i/>
          <w:color w:val="000000" w:themeColor="text1"/>
        </w:rPr>
        <w:t>предизборна агитация</w:t>
      </w:r>
      <w:r>
        <w:rPr>
          <w:color w:val="000000" w:themeColor="text1"/>
        </w:rPr>
        <w:t xml:space="preserve"> от кандидат за Общински съветник от листата на ПП”ДПС” и председателя на ПП”ДПС”.</w:t>
      </w:r>
    </w:p>
    <w:p w:rsidR="002E0B2D" w:rsidRDefault="002E0B2D" w:rsidP="002E0B2D">
      <w:pPr>
        <w:pStyle w:val="a9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Това нарушение е наказуемо по административен път, който е очертан в текстовете на чл.495 от ИК.</w:t>
      </w:r>
    </w:p>
    <w:p w:rsidR="007A7122" w:rsidRDefault="007A7122" w:rsidP="007A7122">
      <w:pPr>
        <w:pStyle w:val="a9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Във видеоматериала в 2:49 минути от началото на записа е видно изказване на г-жа Хатидже Георгиева затова, че се е случил инцидент с член на семейството на активист от ПП”ДПС” и ръководител на Младежко ДПС, съпругът на г-жа Димитрина Събева.      Г-жа Хатидже Георгиева твърди , че ПП ГЕРБ насажда страх сред населението както с това  „ще ви вземат децата, а после казва</w:t>
      </w:r>
      <w:r w:rsidR="00B61028">
        <w:rPr>
          <w:color w:val="000000" w:themeColor="text1"/>
        </w:rPr>
        <w:t>т</w:t>
      </w:r>
      <w:r>
        <w:rPr>
          <w:color w:val="000000" w:themeColor="text1"/>
        </w:rPr>
        <w:t xml:space="preserve"> как ще ви спасят, те го правят това, те </w:t>
      </w:r>
      <w:r w:rsidR="00B61028">
        <w:rPr>
          <w:color w:val="000000" w:themeColor="text1"/>
        </w:rPr>
        <w:t>това могат, те така процедират</w:t>
      </w:r>
      <w:r w:rsidR="00B61028">
        <w:rPr>
          <w:color w:val="000000" w:themeColor="text1"/>
        </w:rPr>
        <w:t>“, като през цялото време говори за ПП „ГЕРБ“</w:t>
      </w:r>
      <w:r>
        <w:rPr>
          <w:color w:val="000000" w:themeColor="text1"/>
        </w:rPr>
        <w:t>.  Предвид, че по въпросният инцидент със съпруга на г-жа Димитрина Събева се води полицейско разследване и не са открити нито извършителят, нито мотивите за деянието, нито има официално становище на компетентни органи, всички публични коментари са несъстоятелни и по-скоро граничат с възможна клевета.</w:t>
      </w:r>
    </w:p>
    <w:p w:rsidR="007A7122" w:rsidRDefault="007A7122" w:rsidP="007A7122">
      <w:pPr>
        <w:pStyle w:val="a9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Относно твърденията на жалбоподателя за насаждане на етническо напрежение,  не се намират основания за това, въпреки воденето на агитация на турски език.  И макар, че самият факт на ползване на език различен от българския при водене на предизборна агитация съставлява нарушение, то в тази част – насаждане на етническо напрежение – жалбата е неоснователна.</w:t>
      </w:r>
    </w:p>
    <w:p w:rsidR="007A7122" w:rsidRDefault="007A7122" w:rsidP="007A7122">
      <w:pPr>
        <w:pStyle w:val="a9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Относно клеветническите нападки и уронването на престижа на ПП”ГЕРБ”, комисията счита, че с </w:t>
      </w:r>
      <w:r w:rsidR="00267923">
        <w:rPr>
          <w:color w:val="000000" w:themeColor="text1"/>
        </w:rPr>
        <w:t>изказването си</w:t>
      </w:r>
      <w:bookmarkStart w:id="1" w:name="_GoBack"/>
      <w:bookmarkEnd w:id="1"/>
      <w:r>
        <w:rPr>
          <w:color w:val="000000" w:themeColor="text1"/>
        </w:rPr>
        <w:t>, именно кандидатът за кмет от ПП ”ДПС” г-жа Хатидже Георгиева е осъществила състава на чл.183, ал.4, изречение първо от Изборния кодекс.</w:t>
      </w:r>
    </w:p>
    <w:p w:rsidR="007A7122" w:rsidRDefault="007A7122" w:rsidP="002E0B2D">
      <w:pPr>
        <w:pStyle w:val="a9"/>
        <w:ind w:firstLine="708"/>
        <w:jc w:val="both"/>
      </w:pPr>
    </w:p>
    <w:p w:rsidR="0095745C" w:rsidRDefault="0095745C" w:rsidP="0095745C">
      <w:pPr>
        <w:pStyle w:val="a9"/>
        <w:ind w:firstLine="708"/>
        <w:jc w:val="both"/>
      </w:pPr>
    </w:p>
    <w:p w:rsidR="00805041" w:rsidRDefault="006C1CB1" w:rsidP="00805041">
      <w:pPr>
        <w:widowControl/>
        <w:spacing w:after="150"/>
        <w:jc w:val="both"/>
        <w:rPr>
          <w:rFonts w:ascii="Times New Roman" w:hAnsi="Times New Roman" w:cs="Times New Roman"/>
          <w:color w:val="000000" w:themeColor="text1"/>
        </w:rPr>
      </w:pPr>
      <w:r w:rsidRPr="006C1CB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На </w:t>
      </w:r>
      <w:r w:rsidR="009E7C8C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 </w:t>
      </w:r>
      <w:r w:rsidR="009E7C8C" w:rsidRPr="00805041">
        <w:rPr>
          <w:rFonts w:ascii="Times New Roman" w:eastAsia="Times New Roman" w:hAnsi="Times New Roman" w:cs="Times New Roman"/>
          <w:color w:val="auto"/>
          <w:lang w:bidi="ar-SA"/>
        </w:rPr>
        <w:t>чл. 87</w:t>
      </w:r>
      <w:r w:rsidR="00F57D35">
        <w:rPr>
          <w:rFonts w:ascii="Times New Roman" w:eastAsia="Times New Roman" w:hAnsi="Times New Roman" w:cs="Times New Roman"/>
          <w:color w:val="auto"/>
          <w:lang w:bidi="ar-SA"/>
        </w:rPr>
        <w:t xml:space="preserve"> ал.1 т.1</w:t>
      </w:r>
      <w:r w:rsidR="009E7C8C" w:rsidRPr="0080504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E7C8C">
        <w:rPr>
          <w:rFonts w:ascii="Times New Roman" w:eastAsia="Times New Roman" w:hAnsi="Times New Roman" w:cs="Times New Roman"/>
          <w:color w:val="auto"/>
          <w:lang w:bidi="ar-SA"/>
        </w:rPr>
        <w:t xml:space="preserve">и </w:t>
      </w:r>
      <w:r w:rsidRPr="006C1CB1">
        <w:rPr>
          <w:rFonts w:ascii="Times New Roman" w:eastAsia="Times New Roman" w:hAnsi="Times New Roman" w:cs="Times New Roman"/>
          <w:color w:val="auto"/>
          <w:lang w:bidi="ar-SA"/>
        </w:rPr>
        <w:t xml:space="preserve"> във връзка </w:t>
      </w:r>
      <w:r w:rsidRPr="00805041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805041" w:rsidRPr="00805041">
        <w:rPr>
          <w:rFonts w:ascii="Times New Roman" w:hAnsi="Times New Roman" w:cs="Times New Roman"/>
          <w:color w:val="000000" w:themeColor="text1"/>
        </w:rPr>
        <w:t xml:space="preserve"> </w:t>
      </w:r>
      <w:r w:rsidR="00805041">
        <w:rPr>
          <w:rFonts w:ascii="Times New Roman" w:hAnsi="Times New Roman" w:cs="Times New Roman"/>
          <w:color w:val="000000" w:themeColor="text1"/>
        </w:rPr>
        <w:t>ч</w:t>
      </w:r>
      <w:r w:rsidR="00805041" w:rsidRPr="00805041">
        <w:rPr>
          <w:rFonts w:ascii="Times New Roman" w:hAnsi="Times New Roman" w:cs="Times New Roman"/>
          <w:color w:val="000000" w:themeColor="text1"/>
        </w:rPr>
        <w:t>л.181, ал.2,</w:t>
      </w:r>
      <w:r w:rsidR="007A7122">
        <w:rPr>
          <w:rFonts w:ascii="Times New Roman" w:hAnsi="Times New Roman" w:cs="Times New Roman"/>
          <w:color w:val="000000" w:themeColor="text1"/>
        </w:rPr>
        <w:t xml:space="preserve"> чл. 183, ал. 4,</w:t>
      </w:r>
      <w:r w:rsidR="00805041" w:rsidRPr="00805041">
        <w:rPr>
          <w:rFonts w:ascii="Times New Roman" w:hAnsi="Times New Roman" w:cs="Times New Roman"/>
          <w:color w:val="000000" w:themeColor="text1"/>
        </w:rPr>
        <w:t xml:space="preserve"> чл.</w:t>
      </w:r>
      <w:r w:rsidR="007A7122">
        <w:rPr>
          <w:rFonts w:ascii="Times New Roman" w:hAnsi="Times New Roman" w:cs="Times New Roman"/>
          <w:color w:val="000000" w:themeColor="text1"/>
        </w:rPr>
        <w:t xml:space="preserve"> </w:t>
      </w:r>
      <w:r w:rsidR="00805041" w:rsidRPr="00805041">
        <w:rPr>
          <w:rFonts w:ascii="Times New Roman" w:hAnsi="Times New Roman" w:cs="Times New Roman"/>
          <w:color w:val="000000" w:themeColor="text1"/>
        </w:rPr>
        <w:t>495,</w:t>
      </w:r>
      <w:r w:rsidR="007A7122">
        <w:rPr>
          <w:rFonts w:ascii="Times New Roman" w:hAnsi="Times New Roman" w:cs="Times New Roman"/>
          <w:color w:val="000000" w:themeColor="text1"/>
        </w:rPr>
        <w:t xml:space="preserve"> </w:t>
      </w:r>
      <w:r w:rsidR="00805041" w:rsidRPr="00805041">
        <w:rPr>
          <w:rFonts w:ascii="Times New Roman" w:hAnsi="Times New Roman" w:cs="Times New Roman"/>
          <w:color w:val="000000" w:themeColor="text1"/>
        </w:rPr>
        <w:t>чл.</w:t>
      </w:r>
      <w:r w:rsidR="007A7122">
        <w:rPr>
          <w:rFonts w:ascii="Times New Roman" w:hAnsi="Times New Roman" w:cs="Times New Roman"/>
          <w:color w:val="000000" w:themeColor="text1"/>
        </w:rPr>
        <w:t xml:space="preserve"> </w:t>
      </w:r>
      <w:r w:rsidR="00805041" w:rsidRPr="00805041">
        <w:rPr>
          <w:rFonts w:ascii="Times New Roman" w:hAnsi="Times New Roman" w:cs="Times New Roman"/>
          <w:color w:val="000000" w:themeColor="text1"/>
        </w:rPr>
        <w:t>496 и чл.</w:t>
      </w:r>
      <w:r w:rsidR="007A7122">
        <w:rPr>
          <w:rFonts w:ascii="Times New Roman" w:hAnsi="Times New Roman" w:cs="Times New Roman"/>
          <w:color w:val="000000" w:themeColor="text1"/>
        </w:rPr>
        <w:t xml:space="preserve"> </w:t>
      </w:r>
      <w:r w:rsidR="00805041" w:rsidRPr="00805041">
        <w:rPr>
          <w:rFonts w:ascii="Times New Roman" w:hAnsi="Times New Roman" w:cs="Times New Roman"/>
          <w:color w:val="000000" w:themeColor="text1"/>
        </w:rPr>
        <w:t>498 от ИК, Общинска избирателна комисия –</w:t>
      </w:r>
      <w:r w:rsidR="00805041">
        <w:rPr>
          <w:rFonts w:ascii="Times New Roman" w:hAnsi="Times New Roman" w:cs="Times New Roman"/>
          <w:color w:val="000000" w:themeColor="text1"/>
        </w:rPr>
        <w:t xml:space="preserve"> Сунгурларе</w:t>
      </w:r>
    </w:p>
    <w:p w:rsidR="00805041" w:rsidRDefault="00805041" w:rsidP="00805041">
      <w:pPr>
        <w:widowControl/>
        <w:spacing w:after="150"/>
        <w:jc w:val="both"/>
        <w:rPr>
          <w:rFonts w:ascii="Times New Roman" w:hAnsi="Times New Roman" w:cs="Times New Roman"/>
          <w:color w:val="000000" w:themeColor="text1"/>
        </w:rPr>
      </w:pPr>
    </w:p>
    <w:p w:rsidR="006C1CB1" w:rsidRPr="006C1CB1" w:rsidRDefault="00805041" w:rsidP="00805041">
      <w:pPr>
        <w:widowControl/>
        <w:spacing w:after="15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</w:t>
      </w:r>
      <w:r>
        <w:rPr>
          <w:color w:val="000000" w:themeColor="text1"/>
        </w:rPr>
        <w:t xml:space="preserve"> </w:t>
      </w:r>
      <w:r w:rsidR="006C1CB1" w:rsidRPr="006C1CB1">
        <w:rPr>
          <w:rFonts w:ascii="Times New Roman" w:eastAsia="Times New Roman" w:hAnsi="Times New Roman" w:cs="Times New Roman"/>
          <w:b/>
          <w:color w:val="auto"/>
          <w:lang w:bidi="ar-SA"/>
        </w:rPr>
        <w:t>РЕШИ:</w:t>
      </w:r>
    </w:p>
    <w:p w:rsidR="00805041" w:rsidRDefault="00805041" w:rsidP="002E0B2D">
      <w:pPr>
        <w:pStyle w:val="a9"/>
        <w:numPr>
          <w:ilvl w:val="0"/>
          <w:numId w:val="5"/>
        </w:numPr>
        <w:jc w:val="both"/>
        <w:rPr>
          <w:color w:val="000000" w:themeColor="text1"/>
        </w:rPr>
      </w:pPr>
      <w:r w:rsidRPr="002E0B2D">
        <w:rPr>
          <w:b/>
          <w:color w:val="000000" w:themeColor="text1"/>
        </w:rPr>
        <w:t xml:space="preserve">УСТАНОВЯВА </w:t>
      </w:r>
      <w:r w:rsidRPr="0079244C">
        <w:rPr>
          <w:color w:val="000000" w:themeColor="text1"/>
        </w:rPr>
        <w:t>наруш</w:t>
      </w:r>
      <w:r>
        <w:rPr>
          <w:color w:val="000000" w:themeColor="text1"/>
        </w:rPr>
        <w:t>ение на забраната за водене на предизборна кампания  на ези</w:t>
      </w:r>
      <w:r w:rsidR="00023947">
        <w:rPr>
          <w:color w:val="000000" w:themeColor="text1"/>
        </w:rPr>
        <w:t xml:space="preserve">к различен от българския </w:t>
      </w:r>
      <w:r>
        <w:rPr>
          <w:color w:val="000000" w:themeColor="text1"/>
        </w:rPr>
        <w:t xml:space="preserve">извършено от Мустафа Сали </w:t>
      </w:r>
      <w:proofErr w:type="spellStart"/>
      <w:r>
        <w:rPr>
          <w:color w:val="000000" w:themeColor="text1"/>
        </w:rPr>
        <w:t>Карадайъ</w:t>
      </w:r>
      <w:proofErr w:type="spellEnd"/>
      <w:r w:rsidR="007A7122">
        <w:rPr>
          <w:color w:val="000000" w:themeColor="text1"/>
        </w:rPr>
        <w:t xml:space="preserve"> с ЕГН:, </w:t>
      </w:r>
      <w:r w:rsidRPr="00F31552">
        <w:lastRenderedPageBreak/>
        <w:t xml:space="preserve">председател на ПП „Движение за права и свободи“ </w:t>
      </w:r>
      <w:r>
        <w:rPr>
          <w:color w:val="000000" w:themeColor="text1"/>
        </w:rPr>
        <w:t>и  Илия</w:t>
      </w:r>
      <w:r w:rsidR="00B81BE6">
        <w:rPr>
          <w:color w:val="000000" w:themeColor="text1"/>
        </w:rPr>
        <w:t xml:space="preserve">н </w:t>
      </w:r>
      <w:r w:rsidR="007A7122">
        <w:rPr>
          <w:color w:val="000000" w:themeColor="text1"/>
        </w:rPr>
        <w:t>Костов Маринов с ЕГН:,</w:t>
      </w:r>
      <w:r>
        <w:rPr>
          <w:color w:val="000000" w:themeColor="text1"/>
        </w:rPr>
        <w:t xml:space="preserve"> кандидат за общинска съветник от листата на ПП „Движение за права и свободи“.</w:t>
      </w:r>
    </w:p>
    <w:p w:rsidR="002E0B2D" w:rsidRPr="00CA63CC" w:rsidRDefault="002E0B2D" w:rsidP="002E0B2D">
      <w:pPr>
        <w:pStyle w:val="a9"/>
        <w:numPr>
          <w:ilvl w:val="0"/>
          <w:numId w:val="5"/>
        </w:numPr>
        <w:jc w:val="both"/>
        <w:rPr>
          <w:color w:val="000000" w:themeColor="text1"/>
        </w:rPr>
      </w:pPr>
      <w:r w:rsidRPr="00CA63CC">
        <w:rPr>
          <w:b/>
          <w:color w:val="000000" w:themeColor="text1"/>
        </w:rPr>
        <w:t xml:space="preserve">УСТАНОВЯВА </w:t>
      </w:r>
      <w:r>
        <w:rPr>
          <w:color w:val="000000" w:themeColor="text1"/>
        </w:rPr>
        <w:t>нарушение</w:t>
      </w:r>
      <w:r w:rsidRPr="00CA63C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 чл. 183, ал. 4 от ИК на Хатидже Мехмедова Георгиева </w:t>
      </w:r>
      <w:r w:rsidR="007A7122">
        <w:rPr>
          <w:color w:val="000000" w:themeColor="text1"/>
        </w:rPr>
        <w:t xml:space="preserve">с </w:t>
      </w:r>
      <w:r>
        <w:rPr>
          <w:color w:val="000000" w:themeColor="text1"/>
        </w:rPr>
        <w:t>ЕГН:</w:t>
      </w:r>
      <w:r w:rsidR="007A7122">
        <w:rPr>
          <w:color w:val="000000" w:themeColor="text1"/>
        </w:rPr>
        <w:t>,</w:t>
      </w:r>
      <w:r>
        <w:rPr>
          <w:color w:val="000000" w:themeColor="text1"/>
        </w:rPr>
        <w:t xml:space="preserve"> кандидат за кмет на община Сунгурларе от </w:t>
      </w:r>
      <w:r w:rsidRPr="00CA63CC">
        <w:rPr>
          <w:color w:val="000000" w:themeColor="text1"/>
        </w:rPr>
        <w:t>П</w:t>
      </w:r>
      <w:r>
        <w:rPr>
          <w:color w:val="000000" w:themeColor="text1"/>
        </w:rPr>
        <w:t>П „Движение за права и свободи“, за това, че на 11.10.2019г. в гр. Сунгурларе на ул. „Странджа“ по време на предизборна агитация с изказването си, накърнява добрите нрави, честта и доброто име на ПП „ГЕРБ“.</w:t>
      </w:r>
    </w:p>
    <w:p w:rsidR="002E0B2D" w:rsidRDefault="002E0B2D" w:rsidP="002E0B2D">
      <w:pPr>
        <w:pStyle w:val="a9"/>
        <w:numPr>
          <w:ilvl w:val="0"/>
          <w:numId w:val="5"/>
        </w:numPr>
        <w:jc w:val="both"/>
        <w:rPr>
          <w:color w:val="000000" w:themeColor="text1"/>
        </w:rPr>
      </w:pPr>
      <w:r w:rsidRPr="002E0B2D">
        <w:rPr>
          <w:b/>
          <w:color w:val="000000" w:themeColor="text1"/>
        </w:rPr>
        <w:t>ОПРАВОМОЩАВА</w:t>
      </w:r>
      <w:r>
        <w:rPr>
          <w:color w:val="000000" w:themeColor="text1"/>
        </w:rPr>
        <w:t xml:space="preserve"> председателя на ОИК Сунгурларе да състави актове за установени нарушения.</w:t>
      </w:r>
    </w:p>
    <w:p w:rsidR="002E0B2D" w:rsidRPr="0079244C" w:rsidRDefault="002E0B2D" w:rsidP="002E0B2D">
      <w:pPr>
        <w:pStyle w:val="a9"/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>Актовете да се изпратят на Областния управител на област Бургас, за издаване на наказателно постановление.</w:t>
      </w:r>
    </w:p>
    <w:p w:rsidR="0024089F" w:rsidRPr="00A17502" w:rsidRDefault="0024089F" w:rsidP="00983C14">
      <w:pPr>
        <w:widowControl/>
        <w:spacing w:after="150"/>
        <w:jc w:val="both"/>
        <w:rPr>
          <w:rFonts w:ascii="Times New Roman" w:hAnsi="Times New Roman" w:cs="Times New Roman"/>
          <w:color w:val="auto"/>
        </w:rPr>
      </w:pPr>
    </w:p>
    <w:p w:rsidR="003E4118" w:rsidRPr="006C1CB1" w:rsidRDefault="003E4118" w:rsidP="003E4118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C1CB1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3E4118" w:rsidRPr="006C1CB1" w:rsidRDefault="003E4118" w:rsidP="004A18F5">
      <w:pPr>
        <w:widowControl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6C1CB1">
        <w:rPr>
          <w:sz w:val="24"/>
          <w:szCs w:val="24"/>
        </w:rPr>
        <w:t>Председател:</w:t>
      </w:r>
      <w:r w:rsidRPr="006C1CB1">
        <w:rPr>
          <w:iCs/>
        </w:rPr>
        <w:t xml:space="preserve"> ………………………......</w:t>
      </w:r>
    </w:p>
    <w:p w:rsidR="003E4118" w:rsidRPr="006C1CB1" w:rsidRDefault="00BF2467" w:rsidP="003E4118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6C1CB1">
        <w:rPr>
          <w:sz w:val="24"/>
          <w:szCs w:val="24"/>
        </w:rPr>
        <w:t xml:space="preserve">                       </w:t>
      </w:r>
      <w:r w:rsidR="003E4118" w:rsidRPr="006C1CB1">
        <w:rPr>
          <w:sz w:val="24"/>
          <w:szCs w:val="24"/>
        </w:rPr>
        <w:t xml:space="preserve"> / Димитър </w:t>
      </w:r>
      <w:proofErr w:type="spellStart"/>
      <w:r w:rsidR="003E4118" w:rsidRPr="006C1CB1">
        <w:rPr>
          <w:sz w:val="24"/>
          <w:szCs w:val="24"/>
        </w:rPr>
        <w:t>Катъров</w:t>
      </w:r>
      <w:proofErr w:type="spellEnd"/>
      <w:r w:rsidR="003E4118" w:rsidRPr="006C1CB1">
        <w:rPr>
          <w:sz w:val="24"/>
          <w:szCs w:val="24"/>
        </w:rPr>
        <w:t>/</w:t>
      </w: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3E4118" w:rsidRPr="006C1CB1" w:rsidRDefault="0024089F" w:rsidP="003E4118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 xml:space="preserve"> </w:t>
      </w:r>
      <w:r w:rsidR="003E4118" w:rsidRPr="006C1CB1">
        <w:rPr>
          <w:color w:val="000000" w:themeColor="text1"/>
          <w:sz w:val="24"/>
          <w:szCs w:val="24"/>
        </w:rPr>
        <w:t>Секретар:</w:t>
      </w:r>
      <w:r w:rsidR="003E4118" w:rsidRPr="006C1CB1">
        <w:rPr>
          <w:iCs/>
        </w:rPr>
        <w:t xml:space="preserve"> ………………………......</w:t>
      </w: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3E4118" w:rsidRDefault="00BF2467" w:rsidP="003E4118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6C1CB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          </w:t>
      </w:r>
      <w:r w:rsidR="00983C14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/Екатерина </w:t>
      </w:r>
      <w:proofErr w:type="spellStart"/>
      <w:r w:rsidR="00983C14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 w:rsidR="003E4118" w:rsidRPr="006C1CB1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24089F" w:rsidRPr="006C1CB1" w:rsidRDefault="0024089F" w:rsidP="003E4118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24089F" w:rsidRDefault="0024089F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</w:p>
    <w:p w:rsidR="004A18F5" w:rsidRDefault="004A18F5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05041" w:rsidRDefault="00805041" w:rsidP="007A7122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05041" w:rsidRDefault="00805041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05041" w:rsidRDefault="00805041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05041" w:rsidRDefault="00805041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A17502" w:rsidRDefault="00A17502" w:rsidP="00A17502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A17502" w:rsidRPr="009079F1" w:rsidRDefault="00A17502" w:rsidP="00A17502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3E4118" w:rsidRPr="006C1CB1" w:rsidRDefault="003E4118">
      <w:pPr>
        <w:rPr>
          <w:rFonts w:ascii="Times New Roman" w:hAnsi="Times New Roman" w:cs="Times New Roman"/>
        </w:rPr>
      </w:pPr>
    </w:p>
    <w:sectPr w:rsidR="003E4118" w:rsidRPr="006C1CB1" w:rsidSect="004A18F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558A"/>
    <w:multiLevelType w:val="hybridMultilevel"/>
    <w:tmpl w:val="2F00761A"/>
    <w:lvl w:ilvl="0" w:tplc="07AA7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06AB"/>
    <w:multiLevelType w:val="hybridMultilevel"/>
    <w:tmpl w:val="6F883E44"/>
    <w:lvl w:ilvl="0" w:tplc="392A49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E8695D"/>
    <w:multiLevelType w:val="hybridMultilevel"/>
    <w:tmpl w:val="32904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33740"/>
    <w:multiLevelType w:val="multilevel"/>
    <w:tmpl w:val="BFC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D617E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BA"/>
    <w:rsid w:val="00023947"/>
    <w:rsid w:val="00042F35"/>
    <w:rsid w:val="001775AD"/>
    <w:rsid w:val="001F1E41"/>
    <w:rsid w:val="00217B1B"/>
    <w:rsid w:val="0024089F"/>
    <w:rsid w:val="00267923"/>
    <w:rsid w:val="002E0B2D"/>
    <w:rsid w:val="003E4118"/>
    <w:rsid w:val="00421263"/>
    <w:rsid w:val="004834BA"/>
    <w:rsid w:val="004A18F5"/>
    <w:rsid w:val="006C1CB1"/>
    <w:rsid w:val="007A7122"/>
    <w:rsid w:val="00805041"/>
    <w:rsid w:val="0095745C"/>
    <w:rsid w:val="00983C14"/>
    <w:rsid w:val="009E7C8C"/>
    <w:rsid w:val="00A14FD1"/>
    <w:rsid w:val="00A17502"/>
    <w:rsid w:val="00B0315B"/>
    <w:rsid w:val="00B61028"/>
    <w:rsid w:val="00B81BE6"/>
    <w:rsid w:val="00B830AB"/>
    <w:rsid w:val="00BF2467"/>
    <w:rsid w:val="00C64B6B"/>
    <w:rsid w:val="00CE07A5"/>
    <w:rsid w:val="00DC70B8"/>
    <w:rsid w:val="00E56B36"/>
    <w:rsid w:val="00E758C3"/>
    <w:rsid w:val="00F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18FB"/>
  <w15:chartTrackingRefBased/>
  <w15:docId w15:val="{21679E02-9DD2-4576-B6D5-36EB0BBB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3E411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3E411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3E411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3E4118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3E41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1775AD"/>
    <w:pPr>
      <w:ind w:left="720"/>
      <w:contextualSpacing/>
    </w:pPr>
  </w:style>
  <w:style w:type="character" w:styleId="a6">
    <w:name w:val="Strong"/>
    <w:basedOn w:val="a0"/>
    <w:uiPriority w:val="22"/>
    <w:qFormat/>
    <w:rsid w:val="001F1E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18F5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A18F5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customStyle="1" w:styleId="Default">
    <w:name w:val="Default"/>
    <w:uiPriority w:val="99"/>
    <w:rsid w:val="004A18F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9">
    <w:name w:val="No Spacing"/>
    <w:uiPriority w:val="1"/>
    <w:qFormat/>
    <w:rsid w:val="0080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22</cp:revision>
  <cp:lastPrinted>2019-10-12T09:04:00Z</cp:lastPrinted>
  <dcterms:created xsi:type="dcterms:W3CDTF">2019-10-03T07:32:00Z</dcterms:created>
  <dcterms:modified xsi:type="dcterms:W3CDTF">2019-10-18T13:12:00Z</dcterms:modified>
</cp:coreProperties>
</file>