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088-МИ 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15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Промяна в състава на СИК 022300012 с. Грозден и СИК 022300020 с. Манолич общ. Сунгурларе, </w:t>
      </w:r>
      <w:proofErr w:type="spellStart"/>
      <w:r>
        <w:t>обл</w:t>
      </w:r>
      <w:proofErr w:type="spellEnd"/>
      <w:r>
        <w:t>. Бургас за произвеждане на изборите за общински съветници и кметове на  27.10.2019 г.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Постъпило е писмо с вх. №  94 / 15.10.2019 г. на ОИК – Сунгурларе от  Хатидже Мехмедова Георгиева, председател на </w:t>
      </w:r>
      <w:proofErr w:type="spellStart"/>
      <w:r>
        <w:rPr>
          <w:color w:val="000000" w:themeColor="text1"/>
        </w:rPr>
        <w:t>ОбС</w:t>
      </w:r>
      <w:proofErr w:type="spellEnd"/>
      <w:r>
        <w:rPr>
          <w:color w:val="000000" w:themeColor="text1"/>
        </w:rPr>
        <w:t xml:space="preserve"> на ПП „ Движение за права и свободи“ с предложение за замяна на членове в СИК </w:t>
      </w:r>
      <w:r>
        <w:t>022300012 с. Грозден и СИК 022300020 с. Манолич общ. Сунгурларе, назначени с Решение № 073-МИ / 29.09.2019 г. на ОИК – Сунгурларе.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Предлага се на мястото на Асен Михайлов Христов </w:t>
      </w:r>
      <w:r>
        <w:t xml:space="preserve">– зам. председател на СИК – 022300012 да бъде назначен Мехмед Калчев </w:t>
      </w:r>
      <w:proofErr w:type="spellStart"/>
      <w:r>
        <w:t>Калчев</w:t>
      </w:r>
      <w:proofErr w:type="spellEnd"/>
      <w:r>
        <w:t xml:space="preserve"> – зам. председател и на мястото на Реджеб Мехмед Ходжа – председател на СИК 022300020 да бъде назначена Нуртен Адил </w:t>
      </w:r>
      <w:proofErr w:type="spellStart"/>
      <w:r>
        <w:t>Карамехмед</w:t>
      </w:r>
      <w:proofErr w:type="spellEnd"/>
      <w:r>
        <w:t xml:space="preserve">. 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 xml:space="preserve">ОСВОБОЖДАВА: Асен Михайлов Христов с  ЕГН: – зам. председател на СИК  022300012 </w:t>
      </w:r>
      <w:r>
        <w:t>и Реджеб Мехмед Ходжа с</w:t>
      </w:r>
      <w:r w:rsidRPr="006B6B80">
        <w:t xml:space="preserve"> </w:t>
      </w:r>
      <w:r>
        <w:t xml:space="preserve">ЕГН: – председател на СИК  022300020. 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 : Мехмед Калчев </w:t>
      </w:r>
      <w:proofErr w:type="spellStart"/>
      <w:r>
        <w:t>Калчев</w:t>
      </w:r>
      <w:proofErr w:type="spellEnd"/>
      <w:r>
        <w:t xml:space="preserve"> с ЕГН:  – зам. председател СИК 022300012  и Нуртен Адил </w:t>
      </w:r>
      <w:proofErr w:type="spellStart"/>
      <w:r>
        <w:t>Карамехмед</w:t>
      </w:r>
      <w:proofErr w:type="spellEnd"/>
      <w:r>
        <w:t xml:space="preserve"> с ЕГН: </w:t>
      </w:r>
      <w:bookmarkStart w:id="1" w:name="_GoBack"/>
      <w:bookmarkEnd w:id="1"/>
      <w:r>
        <w:t>– председател на СИК 022300020.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E11153" w:rsidRPr="0075330B" w:rsidRDefault="00E11153" w:rsidP="00E11153">
      <w:pPr>
        <w:pStyle w:val="a6"/>
        <w:spacing w:before="0" w:beforeAutospacing="0" w:after="0" w:afterAutospacing="0"/>
        <w:ind w:left="708"/>
      </w:pPr>
    </w:p>
    <w:p w:rsidR="00E11153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E11153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Зам. председател:</w:t>
      </w:r>
      <w:r>
        <w:rPr>
          <w:iCs/>
        </w:rPr>
        <w:t xml:space="preserve"> ………………………......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Еметула</w:t>
      </w:r>
      <w:proofErr w:type="spellEnd"/>
      <w:r>
        <w:rPr>
          <w:sz w:val="24"/>
          <w:szCs w:val="24"/>
        </w:rPr>
        <w:t xml:space="preserve"> Мустафа/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421ED3" w:rsidRDefault="00E11153" w:rsidP="00E11153"/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E11153" w:rsidRDefault="00DF1D44" w:rsidP="00E11153"/>
    <w:sectPr w:rsidR="00DF1D44" w:rsidRPr="00E1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3C3169"/>
    <w:rsid w:val="00421ED3"/>
    <w:rsid w:val="0045010A"/>
    <w:rsid w:val="004A28B5"/>
    <w:rsid w:val="005A4152"/>
    <w:rsid w:val="007461A8"/>
    <w:rsid w:val="0075330B"/>
    <w:rsid w:val="009E06C4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82F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11</cp:revision>
  <cp:lastPrinted>2019-10-15T10:29:00Z</cp:lastPrinted>
  <dcterms:created xsi:type="dcterms:W3CDTF">2019-10-15T10:18:00Z</dcterms:created>
  <dcterms:modified xsi:type="dcterms:W3CDTF">2019-10-15T11:14:00Z</dcterms:modified>
</cp:coreProperties>
</file>